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BD8E08">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14:paraId="480C6C74">
      <w:pPr>
        <w:spacing w:line="540" w:lineRule="exact"/>
        <w:jc w:val="center"/>
        <w:rPr>
          <w:rFonts w:ascii="方正小标宋_GBK" w:hAnsi="华文中宋" w:eastAsia="方正小标宋_GBK" w:cs="宋体"/>
          <w:b/>
          <w:kern w:val="0"/>
          <w:sz w:val="48"/>
          <w:szCs w:val="48"/>
        </w:rPr>
      </w:pPr>
    </w:p>
    <w:p w14:paraId="437494DA">
      <w:pPr>
        <w:spacing w:line="540" w:lineRule="exact"/>
        <w:jc w:val="center"/>
        <w:rPr>
          <w:rFonts w:ascii="方正小标宋_GBK" w:hAnsi="华文中宋" w:eastAsia="方正小标宋_GBK" w:cs="宋体"/>
          <w:b/>
          <w:kern w:val="0"/>
          <w:sz w:val="48"/>
          <w:szCs w:val="48"/>
        </w:rPr>
      </w:pPr>
    </w:p>
    <w:p w14:paraId="42BC4194">
      <w:pPr>
        <w:spacing w:line="540" w:lineRule="exact"/>
        <w:jc w:val="center"/>
        <w:rPr>
          <w:rFonts w:ascii="方正小标宋_GBK" w:hAnsi="华文中宋" w:eastAsia="方正小标宋_GBK" w:cs="宋体"/>
          <w:b/>
          <w:kern w:val="0"/>
          <w:sz w:val="48"/>
          <w:szCs w:val="48"/>
        </w:rPr>
      </w:pPr>
    </w:p>
    <w:p w14:paraId="29DD44FF">
      <w:pPr>
        <w:spacing w:line="540" w:lineRule="exact"/>
        <w:jc w:val="center"/>
        <w:rPr>
          <w:rFonts w:ascii="方正小标宋_GBK" w:hAnsi="华文中宋" w:eastAsia="方正小标宋_GBK" w:cs="宋体"/>
          <w:b/>
          <w:kern w:val="0"/>
          <w:sz w:val="48"/>
          <w:szCs w:val="48"/>
        </w:rPr>
      </w:pPr>
    </w:p>
    <w:p w14:paraId="1CEEA2B4">
      <w:pPr>
        <w:spacing w:line="540" w:lineRule="exact"/>
        <w:jc w:val="center"/>
        <w:rPr>
          <w:rFonts w:ascii="方正小标宋_GBK" w:hAnsi="华文中宋" w:eastAsia="方正小标宋_GBK" w:cs="宋体"/>
          <w:b/>
          <w:kern w:val="0"/>
          <w:sz w:val="48"/>
          <w:szCs w:val="48"/>
        </w:rPr>
      </w:pPr>
    </w:p>
    <w:p w14:paraId="05267FF2">
      <w:pPr>
        <w:spacing w:line="540" w:lineRule="exact"/>
        <w:jc w:val="center"/>
        <w:rPr>
          <w:rFonts w:ascii="方正小标宋_GBK" w:hAnsi="华文中宋" w:eastAsia="方正小标宋_GBK" w:cs="宋体"/>
          <w:b/>
          <w:kern w:val="0"/>
          <w:sz w:val="48"/>
          <w:szCs w:val="48"/>
        </w:rPr>
      </w:pPr>
    </w:p>
    <w:p w14:paraId="5B342146">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14:paraId="6B190937">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606A841C">
      <w:pPr>
        <w:spacing w:line="540" w:lineRule="exact"/>
        <w:jc w:val="center"/>
        <w:rPr>
          <w:rFonts w:ascii="华文中宋" w:hAnsi="华文中宋" w:eastAsia="华文中宋" w:cs="宋体"/>
          <w:b/>
          <w:kern w:val="0"/>
          <w:sz w:val="52"/>
          <w:szCs w:val="52"/>
        </w:rPr>
      </w:pPr>
    </w:p>
    <w:p w14:paraId="06135098">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141B98E9">
      <w:pPr>
        <w:spacing w:line="700" w:lineRule="exact"/>
        <w:jc w:val="left"/>
        <w:rPr>
          <w:rFonts w:hint="eastAsia" w:hAnsi="宋体" w:eastAsia="仿宋_GB2312" w:cs="宋体"/>
          <w:kern w:val="0"/>
          <w:sz w:val="36"/>
          <w:szCs w:val="36"/>
        </w:rPr>
      </w:pPr>
    </w:p>
    <w:p w14:paraId="4CF6F18F">
      <w:pPr>
        <w:spacing w:line="700" w:lineRule="exact"/>
        <w:jc w:val="left"/>
        <w:rPr>
          <w:rFonts w:hint="eastAsia" w:hAnsi="宋体" w:eastAsia="仿宋_GB2312" w:cs="宋体"/>
          <w:kern w:val="0"/>
          <w:sz w:val="36"/>
          <w:szCs w:val="36"/>
        </w:rPr>
      </w:pPr>
    </w:p>
    <w:p w14:paraId="2C261204">
      <w:pPr>
        <w:spacing w:line="700" w:lineRule="exact"/>
        <w:jc w:val="left"/>
        <w:rPr>
          <w:rFonts w:hint="eastAsia" w:hAnsi="宋体" w:eastAsia="仿宋_GB2312" w:cs="宋体"/>
          <w:kern w:val="0"/>
          <w:sz w:val="36"/>
          <w:szCs w:val="36"/>
          <w:lang w:eastAsia="zh-CN"/>
        </w:rPr>
      </w:pPr>
    </w:p>
    <w:p w14:paraId="7386E647">
      <w:pPr>
        <w:spacing w:line="700" w:lineRule="exact"/>
        <w:jc w:val="left"/>
        <w:rPr>
          <w:rFonts w:hint="eastAsia" w:hAnsi="宋体" w:eastAsia="仿宋_GB2312" w:cs="宋体"/>
          <w:kern w:val="0"/>
          <w:sz w:val="36"/>
          <w:szCs w:val="36"/>
          <w:lang w:eastAsia="zh-CN"/>
        </w:rPr>
      </w:pPr>
    </w:p>
    <w:p w14:paraId="3956D1D3">
      <w:pPr>
        <w:spacing w:line="700" w:lineRule="exact"/>
        <w:jc w:val="left"/>
        <w:rPr>
          <w:rFonts w:hint="eastAsia" w:hAnsi="宋体" w:eastAsia="仿宋_GB2312" w:cs="宋体"/>
          <w:kern w:val="0"/>
          <w:sz w:val="36"/>
          <w:szCs w:val="36"/>
          <w:lang w:eastAsia="zh-CN"/>
        </w:rPr>
      </w:pPr>
    </w:p>
    <w:p w14:paraId="3BDAEDC8">
      <w:pPr>
        <w:spacing w:line="700" w:lineRule="exact"/>
        <w:jc w:val="left"/>
        <w:rPr>
          <w:rFonts w:hint="eastAsia" w:hAnsi="宋体" w:eastAsia="仿宋_GB2312" w:cs="宋体"/>
          <w:kern w:val="0"/>
          <w:sz w:val="36"/>
          <w:szCs w:val="36"/>
          <w:lang w:eastAsia="zh-CN"/>
        </w:rPr>
      </w:pPr>
    </w:p>
    <w:p w14:paraId="1123CAC0">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克州人民政府驻乌办事处</w:t>
      </w:r>
    </w:p>
    <w:p w14:paraId="3B03041C">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2022年05月12日</w:t>
      </w:r>
    </w:p>
    <w:p w14:paraId="4E30902D">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14:paraId="038EFEE4">
      <w:pPr>
        <w:numPr>
          <w:ilvl w:val="0"/>
          <w:numId w:val="1"/>
        </w:numPr>
        <w:snapToGrid w:val="0"/>
        <w:spacing w:line="540" w:lineRule="exact"/>
        <w:ind w:left="720" w:leftChars="0" w:firstLineChars="0"/>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14:paraId="25C2B7DB">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认真贯彻和落实自治州党委、人民政府重大决策和决定，积极做好对外联络工作。积极做好协调工作。负责克州党委、政府及自治州各部门与自治区党委、政府及各委、办、厅、局的工作联络，拓宽联络渠道，认真做好沟通工作。广泛收集整理和反馈政治、经济等各类信息，为自治州领导的科学决策提供参考。充分发挥办事处的“窗口”桥梁作用，积极为克州经济建设牵线搭桥。认真做好区内外客人和自治州来乌的领导及出差人员的接待服务工作。负责办事处宾馆的宏观管理工作，指导宾馆按现代企业制度运营，并使其规范化、制度化、程序化，更好的服务于克州各族人民。负责驻乌流动人口工作站及驻京联络处流动人口的管理，协调工作，上访人员的处理协调工作。承办自治州党委、人民政府交办的其他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克孜勒苏柯尔克孜自治州人民政府驻乌鲁木齐办事处无下属预算单位，下设4个科室，分别是：办公室、财务科、接待科、保卫科。</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克孜勒苏柯尔克孜自治州人民政府驻乌鲁木齐办事处编制数14人，实有人数18人，其中：在职12人，退休6人。</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（1）持续助推反恐维稳法制化常态化。</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聚焦总目标，贯彻落实自治州党委反恐维稳各项部署确保社会大局稳定情况。坚持把维护稳定作为压倒一切的政治任务，将州党委、政府及驻地维稳政策进行有机融合，准确把握单位性质特点及维稳要求，全面加强安防值班工作，实行24小时领导带班、干部值班制度、安保人员双人在岗、“十户联防”、三级联动工作机制，加强与074警务站、友好南路派出所、鸿雁社区的力量融合，齐全配备应急值守器械。更换车辆门禁及人员出入系统，重点部位、场所实行24小时监控无死角全覆盖、安保人员进行巡逻巡查。接待楼前台严格按照公安机关的管理要求将每位入住人员及访客录入人证系统进行查证、登记备案并及时上报核实，发现问题及时和驻在地警务站联系处理。2021年克州驻乌办事处开展值班备勤1000余人次、组织一线服务、安保人员30余人次开展突发事件、消防演练6次。</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（2）建立健全信访接待机制，与克州驻乌鲁木齐流动人口管理站建立常态化工作联系。</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通过加强对流动人口管理站、疆内转移就业工作组、驻京联络处等克州派出机构的有效统管，逐步构建指挥高效、政令畅通，令行禁止的领导体制及运行机制。使得克州籍在乌、在京流动人员、转移就业人员管理工作的更加规范科学，并全面掌握了流动人员的基本情况，做到了“底数清、情况明、动向知”。同时，在不断深化工作措施、强化走访服务、科学精准施管的基础上，加大登记审查、法律宣传、关心关爱、援助资助等工作力度，有效教育引导克州籍在乌、在京流动、转移就业人员自觉守法、遵规守纪、主动维护社会治安和团结稳定，争做新时代合法好公民。一年来，参与处置上访事件7起、劝返上访人员13人次、配合公安机关核查人员身份信息300人次、协助查处案事件6起。</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（3）做好克州籍务工人员的管理服务工作。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州驻乌办事处秉持立足本职、服务群众的大局意识和全局观念，为克州外出务工人员提供服务，积极与自治区驻京工作组、州人社局、州公安局、州教委建立常态联系，摸清在乌、在京克州籍人员底数和基本信息，分类建立务工经商、重点人员、学生工作台账。协助办理民族事务、处置突发事件、调解纠纷、化解矛盾等。严格贯彻落实《内地新疆籍人员服务管理座谈会纪要》，切实增强“四个意识”、坚定“四个自信”、做到“两个维护”，积极向克州党委政法委汇报请示，建立健全在京人员核查机制，由各县（市）公安局指定一名分管领导和联络员与驻京联络处建立联络机制，及时核查反馈克州籍在京人员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（4）坚持底线思维，慎终如始常态化做好疫情防控工作。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深入贯彻落实习近平总书记关于统筹常态化疫情防控和经济社会发展的重要讲话精神，坚持在常态化疫情防控中履职尽责。克州驻乌办事处根据乌鲁木齐市和驻在地街道社区相关要求制定工作方案，细化工作举措。认真检查疫情防控举措，严格落实值班值守、疫情防控消杀、登记等有关工作。针对国内各省市新冠肺炎病例频发，办事处的特殊工作性质让我们面临的风险较大，因此要务必高度重视、毫不松懈，严格执行常态化疫情防控措施，积极为鸿雁社区提供辖区内全民核酸检测场所。认真落实测温、验码、戴口罩、一米线、每日5次环境消杀等要求，要求入住旅客必须持有核酸报告，并采集落地核酸。对途径疫区的旅客及时上报社区研判备案，按照要求采取相应的隔离措施。疫情期间餐厅采取分时段分桌就餐，不聚集用餐。截至目前，克州驻乌办事处共接待旅客3598人次。28名工作人员除因特殊原因（身患高血压、冠心病等）均已按照要求按时按批接种新冠肺炎疫苗；全体干部职工安装使用新疆好地方APP，切实落实精准防疫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人民政府驻乌鲁木齐办事处单位内部控制规范》，主要内容包括如下几个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收支管理：领导层是本单位收支业务管理的决策部门，负责审批单位收支业务等事项。涉及“三重一大”事项，根据《克州人民政府驻乌鲁木齐办事处集体决策制度》和《克州人民政府驻乌鲁木齐办事处项目管理办法》办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人民政府驻乌鲁木齐办事处政府采购管理办法》执行。</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5）合同业务管理：按照《克州人民政府驻乌鲁木齐办事处合同管理办法》相关规定，克州人民政府驻乌鲁木齐办事处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374.24万元，项目支出安排资金0.51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本单位2021年度项目支出0.51万元，涉及项目数量1个，其中：重点项目支出0.51万元，涉及重点项目数量1个，重点项目支出与部门项目总支出的比率为100%。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2021年度本单位年初批复部门预算资金总额为174.05万元，年中调增预算总额为298.45万元，调整后全年预算资金总额为472.50万元。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2021年度本单位部门整体支出资金总额为374.75万元，预算执行率为79.29%，预算调整率为</w:t>
      </w:r>
      <w:r>
        <w:rPr>
          <w:rFonts w:hint="eastAsia" w:ascii="仿宋_GB2312" w:hAnsi="宋体" w:eastAsia="仿宋_GB2312"/>
          <w:b w:val="0"/>
          <w:bCs/>
          <w:sz w:val="32"/>
          <w:szCs w:val="32"/>
          <w:lang w:val="en-US" w:eastAsia="zh-CN"/>
        </w:rPr>
        <w:t>171.47</w:t>
      </w:r>
      <w:r>
        <w:rPr>
          <w:rFonts w:hint="eastAsia" w:ascii="仿宋_GB2312" w:hAnsi="宋体" w:eastAsia="仿宋_GB2312"/>
          <w:b w:val="0"/>
          <w:bCs/>
          <w:sz w:val="32"/>
          <w:szCs w:val="32"/>
        </w:rPr>
        <w:t>%。</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年初政府采购预算数为0万元，实际政府采购数为0万元，政府采购执行率为0%。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14:paraId="46F938B4">
      <w:pPr>
        <w:numPr>
          <w:ilvl w:val="0"/>
          <w:numId w:val="1"/>
        </w:numPr>
        <w:snapToGrid w:val="0"/>
        <w:spacing w:line="540" w:lineRule="exact"/>
        <w:ind w:left="720" w:leftChars="0" w:firstLineChars="0"/>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14:paraId="441FC0DC">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为加强我单位预算管理、规范财务行为我单位制定了《克州人民政府驻乌鲁木齐办事处内部控制规范》《克州人民政府驻乌鲁木齐办事处项目管理规范》等资金管理制度，已建立制度均健全且有效运行。</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2021年度我单位基本支出预算总额为471.99万元，其中人员经费225.39万元，公用经费246.60万元。实际执行总额为374.24万元，预算执行率79.29%。</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2021年度一般公共预算“三公”经费支出决算0万元，比上年增加0万元，增加0%，主要原因是：未安排预算。</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2021年度本单位项目支出预算总额为17.63万元，实际执行资金总额为0.51万元，预算执行率为2.92%。</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2021年度预算安排专项资金17.63万元，实际支出资金0.51万元，预算执行率为2.92%，涉及项目个数1个。专项经费按照政策要求实行专款专用，不存在截留、挤占、挪用、虚列支出。各项目详细执行情况如下：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2020年突发新冠疫情防疫工作经费结转项目:全年预算数为17.63万元，预算执行数为0.51万元，预算执行率为2.92%。</w:t>
      </w:r>
    </w:p>
    <w:p w14:paraId="3493C843">
      <w:pPr>
        <w:numPr>
          <w:ilvl w:val="0"/>
          <w:numId w:val="1"/>
        </w:numPr>
        <w:snapToGrid w:val="0"/>
        <w:spacing w:line="540" w:lineRule="exact"/>
        <w:ind w:left="720" w:leftChars="0" w:firstLineChars="0"/>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14:paraId="0E6930C4">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2.92%。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2020年突发新冠疫情防疫工作经费结转项目:克</w:t>
      </w:r>
      <w:r>
        <w:rPr>
          <w:rFonts w:hint="eastAsia" w:ascii="仿宋_GB2312" w:hAnsi="宋体" w:eastAsia="仿宋_GB2312"/>
          <w:b w:val="0"/>
          <w:bCs/>
          <w:sz w:val="32"/>
          <w:szCs w:val="32"/>
          <w:lang w:eastAsia="zh-CN"/>
        </w:rPr>
        <w:t>州民政局</w:t>
      </w:r>
      <w:r>
        <w:rPr>
          <w:rFonts w:hint="eastAsia" w:ascii="仿宋_GB2312" w:hAnsi="宋体" w:eastAsia="仿宋_GB2312"/>
          <w:b w:val="0"/>
          <w:bCs/>
          <w:sz w:val="32"/>
          <w:szCs w:val="32"/>
        </w:rPr>
        <w:t>下达关于拨付2020年突发新冠疫情防疫工作经费（新财社【2020】14号）。</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共有1项专项，总投入共计17.63万元，实际使用资金0.51万元，专项资金执行率为2.92%。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①制订《克州人民政府驻乌鲁木齐办事处经费使用规范》,为合理合规使用经费提供了有力的制度保障。同时,建立区委组织部项目经费内部管控制度，并严格按要求落实。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成本节约：我单位1个项目成本均未超预算，预算执行率达2.29%。</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我单位共有1个项目，项目实施进度已达到2.29%。</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2020年突发新冠疫情防疫工作经费结转项目：用于以上服务工作开支。做好后勤保障服务工作，提升公共服务的能力。有利于切实解决在外置留克州干部群众生活及防疫问题，维护克州干部群众合法权益和身体健康，确保各族群众均能感受党的关心和温暖。</w:t>
      </w:r>
    </w:p>
    <w:p w14:paraId="195FF3BD">
      <w:pPr>
        <w:numPr>
          <w:ilvl w:val="0"/>
          <w:numId w:val="1"/>
        </w:numPr>
        <w:snapToGrid w:val="0"/>
        <w:spacing w:line="540" w:lineRule="exact"/>
        <w:ind w:left="720" w:leftChars="0" w:firstLineChars="0"/>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14:paraId="1346B2EC">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本单位2021年初资产合计数为562.04万元，年末资产合计数为547.43万元。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截止本年度固定资产账面净值446.82万元，年末实际在用固定资产446.82万元，固定资产利用率为100%。</w:t>
      </w:r>
    </w:p>
    <w:p w14:paraId="72AA721E">
      <w:pPr>
        <w:numPr>
          <w:ilvl w:val="0"/>
          <w:numId w:val="1"/>
        </w:numPr>
        <w:snapToGrid w:val="0"/>
        <w:spacing w:line="540" w:lineRule="exact"/>
        <w:ind w:left="720" w:leftChars="0" w:firstLineChars="0"/>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14:paraId="04FD566F">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部门单位整体支出共设置一级指标3个，二级指标8个，三级指标14个，其中已完成三级指标14个，指标完成率为100%。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“接送旅客人数（次）”指标：预期指标值为&gt;=4600次，实际完成指标值为4600次，指标完成率为100%。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“联络处随访服务（人次）”指标：预期指标值为&gt;=400人，实际完成指标值为400人，指标完成率为100%。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“取文件、办事（次）”指标：预期指标值为&gt;=65次，实际完成指标值为65次，指标完成率为100%。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“转运物资等（次）”指标：预期指标值为&gt;=860次，实际完成指标值为860次，指标完成率为100%。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“车辆保障服务（次）”指标：预期指标值为&gt;=2150次，实际完成指标值为2150次，指标完成率为100%。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“绩效考核合格率（%）”指标：预期指标值为=100%，实际完成指标值为100%，指标完成率为100%。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“服务工作完成率（%）”指标：预期指标值为=100%，实际完成指标值为100%，指标完成率为100%。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“各项工作按期开展及时率（%）”指标：预期指标值为=100%，实际完成指标值为100%，指标完成率为100%。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“人员经费（万元）”指标：预期指标值为&lt;=171.92万元，实际完成指标值为171.92万元，指标完成率为100%。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“项目经费（万元）”指标：预期指标值为&lt;=2.13万元，实际完成指标值为2.13万元，指标完成率为100%。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“预期实现客房经营收入（万元）”指标：预期指标值为&gt;=75万元，实际完成指标值为75万元，指标完成率为100%。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“登记驻乌流动人口（人）”指标：预期指标值为&gt;=4360人，实际完成指标值为4360人，指标完成率为100%。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“后勤保障工作情况”指标：预期指标值为持续改善，实际完成指标值为持续改善，指标完成率为100%。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无生态效益指标。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“提高窗口形象，宣传克州、服务于全州各族干部群众”指标：预期指标值为长期，实际完成指标值为长期，指标完成率为100%。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“受益干部群众的满意度（%）”指标：预期指标值为&gt;=95%，实际完成指标值为95%，指标完成率为100%。</w:t>
      </w:r>
    </w:p>
    <w:p w14:paraId="3F974075">
      <w:pPr>
        <w:numPr>
          <w:ilvl w:val="0"/>
          <w:numId w:val="1"/>
        </w:numPr>
        <w:snapToGrid w:val="0"/>
        <w:spacing w:line="540" w:lineRule="exact"/>
        <w:ind w:left="720" w:leftChars="0" w:firstLineChars="0"/>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14:paraId="02771882">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14:paraId="07BACC3F">
      <w:pPr>
        <w:numPr>
          <w:ilvl w:val="0"/>
          <w:numId w:val="1"/>
        </w:numPr>
        <w:snapToGrid w:val="0"/>
        <w:spacing w:line="540" w:lineRule="exact"/>
        <w:ind w:left="720" w:leftChars="0" w:firstLineChars="0"/>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14:paraId="34DCB58F">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p w14:paraId="72C3A28F"/>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720"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75B061E"/>
    <w:rsid w:val="0D1922F1"/>
    <w:rsid w:val="108622B3"/>
    <w:rsid w:val="1438599A"/>
    <w:rsid w:val="200F4073"/>
    <w:rsid w:val="24B86128"/>
    <w:rsid w:val="34BE6DAA"/>
    <w:rsid w:val="51C70EA9"/>
    <w:rsid w:val="54F842B6"/>
    <w:rsid w:val="559E0BC7"/>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10061</Words>
  <Characters>10489</Characters>
  <Lines>2</Lines>
  <Paragraphs>1</Paragraphs>
  <TotalTime>30</TotalTime>
  <ScaleCrop>false</ScaleCrop>
  <LinksUpToDate>false</LinksUpToDate>
  <CharactersWithSpaces>10771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盛夏之末√</cp:lastModifiedBy>
  <dcterms:modified xsi:type="dcterms:W3CDTF">2025-07-31T03:31:54Z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4E2A216151A24EE5A190066F518526B7</vt:lpwstr>
  </property>
  <property fmtid="{D5CDD505-2E9C-101B-9397-08002B2CF9AE}" pid="4" name="KSOTemplateDocerSaveRecord">
    <vt:lpwstr>eyJoZGlkIjoiZjFmZWIzNDg2MmIzZjExOTIzMmViNTBmYTMwYTk0ZWYiLCJ1c2VySWQiOiI0MzIyODY2NzMifQ==</vt:lpwstr>
  </property>
</Properties>
</file>